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046D2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046D2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046D2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046D2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046D25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046D2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046D2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046D25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046D25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PF - Płatności internetowe</w:t>
      </w:r>
    </w:p>
    <w:p w:rsidR="00C44F8A" w:rsidRPr="00AC6E06" w:rsidRDefault="00046D25" w:rsidP="00D86CA3"/>
    <w:p w:rsidR="00D86CA3" w:rsidRDefault="00046D25" w:rsidP="00D86CA3">
      <w:r w:rsidRPr="00AC6E06">
        <w:br w:type="page"/>
      </w:r>
    </w:p>
    <w:p w:rsidR="00046D25" w:rsidRDefault="00046D25" w:rsidP="00046D25">
      <w:r>
        <w:rPr>
          <w:b/>
        </w:rPr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169"/>
        <w:gridCol w:w="1769"/>
        <w:gridCol w:w="3746"/>
        <w:gridCol w:w="1387"/>
        <w:gridCol w:w="1059"/>
      </w:tblGrid>
      <w:tr w:rsidR="00046D25" w:rsidTr="00381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046D25" w:rsidTr="00381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</w:p>
        </w:tc>
      </w:tr>
      <w:tr w:rsidR="00046D25" w:rsidTr="003810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2015-11-24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</w:p>
        </w:tc>
      </w:tr>
      <w:tr w:rsidR="00046D25" w:rsidTr="00381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046D25" w:rsidRDefault="00046D25" w:rsidP="00381085">
            <w:pPr>
              <w:rPr>
                <w:sz w:val="20"/>
                <w:szCs w:val="20"/>
              </w:rPr>
            </w:pPr>
          </w:p>
        </w:tc>
      </w:tr>
    </w:tbl>
    <w:p w:rsidR="00046D25" w:rsidRPr="00AC6E06" w:rsidRDefault="00046D25" w:rsidP="00D86CA3">
      <w:pPr>
        <w:rPr>
          <w:rFonts w:ascii="Trebuchet MS" w:hAnsi="Trebuchet MS"/>
          <w:b/>
          <w:bCs/>
          <w:caps/>
          <w:sz w:val="32"/>
          <w:szCs w:val="20"/>
        </w:rPr>
      </w:pPr>
      <w:r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046D25" w:rsidP="00B44274">
          <w:pPr>
            <w:pStyle w:val="TOCHeading"/>
          </w:pPr>
          <w:r w:rsidRPr="00046D25">
            <w:rPr>
              <w:rFonts w:ascii="Arial" w:hAnsi="Arial" w:cs="Arial"/>
              <w:color w:val="auto"/>
            </w:rPr>
            <w:t xml:space="preserve">Spis </w:t>
          </w:r>
          <w:r w:rsidRPr="00046D25">
            <w:rPr>
              <w:rFonts w:ascii="Arial" w:hAnsi="Arial" w:cs="Arial"/>
              <w:color w:val="auto"/>
            </w:rPr>
            <w:t>treści</w:t>
          </w:r>
        </w:p>
        <w:p w:rsidR="00046D25" w:rsidRDefault="00046D2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7503895" w:history="1">
            <w:r w:rsidRPr="00823379">
              <w:rPr>
                <w:rStyle w:val="Hyperlink"/>
                <w:noProof/>
              </w:rPr>
              <w:t>1.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23379">
              <w:rPr>
                <w:rStyle w:val="Hyperlink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6D25" w:rsidRDefault="00046D2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896" w:history="1">
            <w:r w:rsidRPr="00823379">
              <w:rPr>
                <w:rStyle w:val="Hyperlink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23379">
              <w:rPr>
                <w:rStyle w:val="Hyperlink"/>
                <w:noProof/>
              </w:rPr>
              <w:t>Operator płatności elektronicznych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6D25" w:rsidRDefault="00046D2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897" w:history="1">
            <w:r w:rsidRPr="00823379">
              <w:rPr>
                <w:rStyle w:val="Hyperlink"/>
                <w:noProof/>
              </w:rPr>
              <w:t>3.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23379">
              <w:rPr>
                <w:rStyle w:val="Hyperlink"/>
                <w:noProof/>
              </w:rPr>
              <w:t>Certyfikaty bezpieczeństwa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898" w:history="1">
            <w:r w:rsidRPr="00823379">
              <w:rPr>
                <w:rStyle w:val="Hyperlink"/>
              </w:rPr>
              <w:t>3.1.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Thawte - Certyfikat SSL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_Toc437503898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899" w:history="1">
            <w:r w:rsidRPr="00823379">
              <w:rPr>
                <w:rStyle w:val="Hyperlink"/>
              </w:rPr>
              <w:t>3.2.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PCI/DSS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_Toc437503899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900" w:history="1">
            <w:r w:rsidRPr="00823379">
              <w:rPr>
                <w:rStyle w:val="Hyperlink"/>
              </w:rPr>
              <w:t>3.3.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McAfee Secure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901" w:history="1">
            <w:r w:rsidRPr="00823379">
              <w:rPr>
                <w:rStyle w:val="Hyperlink"/>
                <w:noProof/>
              </w:rPr>
              <w:t>4.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23379">
              <w:rPr>
                <w:rStyle w:val="Hyperlink"/>
                <w:noProof/>
              </w:rPr>
              <w:t>Zasada działania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6D25" w:rsidRDefault="00046D2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902" w:history="1">
            <w:r w:rsidRPr="00823379">
              <w:rPr>
                <w:rStyle w:val="Hyperlink"/>
                <w:noProof/>
              </w:rPr>
              <w:t>5.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23379">
              <w:rPr>
                <w:rStyle w:val="Hyperlink"/>
                <w:noProof/>
              </w:rPr>
              <w:t>Integracja z PayPal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903" w:history="1">
            <w:r w:rsidRPr="00823379">
              <w:rPr>
                <w:rStyle w:val="Hyperlink"/>
              </w:rPr>
              <w:t>5.1.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PayPal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904" w:history="1">
            <w:r w:rsidRPr="00823379">
              <w:rPr>
                <w:rStyle w:val="Hyperlink"/>
              </w:rPr>
              <w:t>5.2.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Schemat procesu przyjmowania płatności od klienta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905" w:history="1">
            <w:r w:rsidRPr="00823379">
              <w:rPr>
                <w:rStyle w:val="Hyperlink"/>
              </w:rPr>
              <w:t>5.3.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Załączniki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1"/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37503906" w:history="1">
            <w:r w:rsidRPr="00823379">
              <w:rPr>
                <w:rStyle w:val="Hyperlink"/>
                <w:noProof/>
              </w:rPr>
              <w:t>6.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Pr="00823379">
              <w:rPr>
                <w:rStyle w:val="Hyperlink"/>
                <w:noProof/>
              </w:rPr>
              <w:t>Integracja z Przelewy24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_Toc437503906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907" w:history="1">
            <w:r w:rsidRPr="00823379">
              <w:rPr>
                <w:rStyle w:val="Hyperlink"/>
              </w:rPr>
              <w:t>6.1.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Przelewy24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908" w:history="1">
            <w:r w:rsidRPr="00823379">
              <w:rPr>
                <w:rStyle w:val="Hyperlink"/>
              </w:rPr>
              <w:t>6.2.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Schemat procesu przyjmowania płatności od klienta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3"/>
            <w:rPr>
              <w:rFonts w:eastAsiaTheme="minorEastAsia" w:cstheme="minorBidi"/>
              <w:iCs w:val="0"/>
              <w:sz w:val="22"/>
              <w:szCs w:val="22"/>
            </w:rPr>
          </w:pPr>
          <w:hyperlink w:anchor="_Toc437503909" w:history="1">
            <w:r w:rsidRPr="00823379">
              <w:rPr>
                <w:rStyle w:val="Hyperlink"/>
              </w:rPr>
              <w:t>6.2.1.</w:t>
            </w:r>
            <w:r>
              <w:rPr>
                <w:rFonts w:eastAsiaTheme="minorEastAsia" w:cstheme="minorBidi"/>
                <w:iCs w:val="0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Przyjmowanie płatności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46D25" w:rsidRDefault="00046D25">
          <w:pPr>
            <w:pStyle w:val="TOC2"/>
            <w:rPr>
              <w:rFonts w:eastAsiaTheme="minorEastAsia" w:cstheme="minorBidi"/>
              <w:sz w:val="22"/>
              <w:szCs w:val="22"/>
            </w:rPr>
          </w:pPr>
          <w:hyperlink w:anchor="_Toc437503910" w:history="1">
            <w:r w:rsidRPr="00823379">
              <w:rPr>
                <w:rStyle w:val="Hyperlink"/>
              </w:rPr>
              <w:t>6.3.</w:t>
            </w:r>
            <w:r>
              <w:rPr>
                <w:rFonts w:eastAsiaTheme="minorEastAsia" w:cstheme="minorBidi"/>
                <w:sz w:val="22"/>
                <w:szCs w:val="22"/>
              </w:rPr>
              <w:tab/>
            </w:r>
            <w:r w:rsidRPr="00823379">
              <w:rPr>
                <w:rStyle w:val="Hyperlink"/>
              </w:rPr>
              <w:t>Załączniki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_Toc437503910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DC107A" w:rsidRDefault="00046D25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E17C80" w:rsidRDefault="00046D25">
      <w:pPr>
        <w:spacing w:line="240" w:lineRule="auto"/>
      </w:pPr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br w:type="page"/>
      </w:r>
      <w:bookmarkStart w:id="3" w:name="_GoBack"/>
      <w:bookmarkEnd w:id="3"/>
    </w:p>
    <w:p w:rsidR="00DC107A" w:rsidRDefault="00046D25">
      <w:pPr>
        <w:pStyle w:val="Heading1"/>
      </w:pPr>
      <w:bookmarkStart w:id="4" w:name="scroll-bookmark-1"/>
      <w:bookmarkStart w:id="5" w:name="_Toc437503895"/>
      <w:r>
        <w:lastRenderedPageBreak/>
        <w:t>Wstęp</w:t>
      </w:r>
      <w:bookmarkEnd w:id="4"/>
      <w:bookmarkEnd w:id="5"/>
    </w:p>
    <w:p w:rsidR="00DC107A" w:rsidRDefault="00046D25">
      <w:r>
        <w:t>Niniejszy dokument zawiera opis działania płatności internetowej oraz sposób integracji z operatorem płatności Przelewy24 i systemem PayPal.</w:t>
      </w:r>
    </w:p>
    <w:p w:rsidR="00DC107A" w:rsidRDefault="00DC107A"/>
    <w:p w:rsidR="00DC107A" w:rsidRDefault="00046D25">
      <w:pPr>
        <w:pStyle w:val="Heading1"/>
      </w:pPr>
      <w:bookmarkStart w:id="6" w:name="scroll-bookmark-2"/>
      <w:bookmarkStart w:id="7" w:name="_Toc437503896"/>
      <w:r>
        <w:t>Operator płatności elektronicznych</w:t>
      </w:r>
      <w:bookmarkEnd w:id="6"/>
      <w:bookmarkEnd w:id="7"/>
    </w:p>
    <w:p w:rsidR="00DC107A" w:rsidRDefault="00046D25">
      <w:r>
        <w:t xml:space="preserve">W systemie MKA </w:t>
      </w:r>
      <w:r>
        <w:t>poprzez Portal oraz aplikację mobilną iMKA będzie możliwe dokonywanie płatności elektronicznych. Płatności elektroniczne będą realizowane przez zewnętrznego operatora płatności.</w:t>
      </w:r>
    </w:p>
    <w:p w:rsidR="00DC107A" w:rsidRDefault="00046D25">
      <w:r>
        <w:t>W systemie MKA operatorem płatności elektronicznych będą Przelewy24. Przelewy2</w:t>
      </w:r>
      <w:r>
        <w:t>4 dostarczają najszerszy wybór form płatności w Polsce.</w:t>
      </w:r>
    </w:p>
    <w:p w:rsidR="00DC107A" w:rsidRDefault="00046D25">
      <w:r>
        <w:t>Serwis Przelewy24 jest jednym z wielu serwisów internetowych poznańskiej Grupy DialCom24, w ramach której PayPro SA - Agent Rozliczeniowy prowadzi system autoryzacji i rozliczeń na podstawie decyzji P</w:t>
      </w:r>
      <w:r>
        <w:t>rezesa Narodowego Banku Polskiego Nr 1/2011 z dnia 1.04.2011 oraz świadczy usługi płatnicze w charakterze krajowej instytucji płatniczej na podstawie decyzji Komisji Nadzoru Finansowego z dnia 10.06.2014, wpisanej do rejestru usług płatniczych wraz z Dialc</w:t>
      </w:r>
      <w:r>
        <w:t xml:space="preserve">om24 Sp. z o.o - Agentem Płatniczym pod numerem nr IP24/2014 (dostępnym na </w:t>
      </w:r>
      <w:hyperlink r:id="rId9" w:history="1">
        <w:r>
          <w:rPr>
            <w:rStyle w:val="Hyperlink"/>
          </w:rPr>
          <w:t>https://erup.knf.gov.pl/View/</w:t>
        </w:r>
      </w:hyperlink>
      <w:r>
        <w:t>). Działalność PayPro SA jako Krajowej Instytucji Płatniczej podlega nadzorowi Urzędowi Komisji Nadzoru Finans</w:t>
      </w:r>
      <w:r>
        <w:t>owego.</w:t>
      </w:r>
    </w:p>
    <w:p w:rsidR="00DC107A" w:rsidRDefault="00DC107A"/>
    <w:p w:rsidR="00DC107A" w:rsidRDefault="00046D25">
      <w:pPr>
        <w:pStyle w:val="Heading1"/>
      </w:pPr>
      <w:bookmarkStart w:id="8" w:name="scroll-bookmark-3"/>
      <w:bookmarkStart w:id="9" w:name="_Toc437503897"/>
      <w:r>
        <w:t>Certyfikaty bezpieczeństwa</w:t>
      </w:r>
      <w:bookmarkEnd w:id="8"/>
      <w:bookmarkEnd w:id="9"/>
    </w:p>
    <w:p w:rsidR="00DC107A" w:rsidRDefault="00046D25">
      <w:pPr>
        <w:pStyle w:val="Heading2"/>
      </w:pPr>
      <w:bookmarkStart w:id="10" w:name="scroll-bookmark-4"/>
      <w:bookmarkStart w:id="11" w:name="_Toc437503898"/>
      <w:r>
        <w:t>Thawte - Certyfikat SSL</w:t>
      </w:r>
      <w:bookmarkEnd w:id="10"/>
      <w:bookmarkEnd w:id="11"/>
    </w:p>
    <w:p w:rsidR="00DC107A" w:rsidRDefault="00046D25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Thawte" style="width:300pt;height:90pt" o:allowoverlap="f">
            <v:imagedata r:id="rId10" o:title=""/>
          </v:shape>
        </w:pict>
      </w:r>
    </w:p>
    <w:p w:rsidR="00DC107A" w:rsidRDefault="00046D25">
      <w:r>
        <w:t xml:space="preserve">Certyfikat SSL zapewnia ochronę stron internetowych oraz poufność danych przekazywanych drogą elektroniczną, umożliwia szyfrowanie dowolnej usługi </w:t>
      </w:r>
      <w:r>
        <w:t>świadczonej przez Internet.</w:t>
      </w:r>
    </w:p>
    <w:p w:rsidR="00DC107A" w:rsidRDefault="00046D25">
      <w:r>
        <w:t>Dzięki temu zabezpieczeniu nie ma możliwości przechwycenia danych przekazywanych za pośrednictwem witryny internetowej. Użytkownicy strony mają absolutną pewność, że łączą się bezpiecznie z właściwym serwisem.</w:t>
      </w:r>
    </w:p>
    <w:p w:rsidR="00DC107A" w:rsidRDefault="00046D25">
      <w:r>
        <w:t>W systemie Przelew</w:t>
      </w:r>
      <w:r>
        <w:t>y24 wykorzystywany jest certyfikat bezpieczeństwa SSL - Thawte Technologies Inc. Certyfikaty Thawte są rozpoznawane, jako</w:t>
      </w:r>
      <w:r>
        <w:t xml:space="preserve"> godne zaufania przez wszystkie przeglądarki internetowe.</w:t>
      </w:r>
    </w:p>
    <w:p w:rsidR="00046D25" w:rsidRDefault="00046D25"/>
    <w:p w:rsidR="00DC107A" w:rsidRDefault="00046D25">
      <w:pPr>
        <w:pStyle w:val="Heading2"/>
      </w:pPr>
      <w:bookmarkStart w:id="12" w:name="scroll-bookmark-5"/>
      <w:bookmarkStart w:id="13" w:name="_Toc437503899"/>
      <w:r>
        <w:t>PCI/DSS</w:t>
      </w:r>
      <w:bookmarkEnd w:id="12"/>
      <w:bookmarkEnd w:id="13"/>
    </w:p>
    <w:p w:rsidR="00DC107A" w:rsidRDefault="00046D25">
      <w:r>
        <w:pict>
          <v:shape id="_x0000_i1027" type="#_x0000_t75" alt="PCI DSS Compiant" style="width:219.75pt;height:81pt" o:allowoverlap="f">
            <v:imagedata r:id="rId11" o:title=""/>
          </v:shape>
        </w:pict>
      </w:r>
    </w:p>
    <w:p w:rsidR="00DC107A" w:rsidRDefault="00046D25">
      <w:r>
        <w:t>Standard bezpieczeń</w:t>
      </w:r>
      <w:r>
        <w:t>stwa danych w branży płatniczej opracowany w oparciu o najlepsze praktyki.</w:t>
      </w:r>
    </w:p>
    <w:p w:rsidR="00DC107A" w:rsidRDefault="00046D25">
      <w:r>
        <w:t>Standard PCI/DSS dotyczy dwunastu najważniejszych kwestii od zarządzania bezpieczeństwem, po kodeksy postępowania, procedury, architekturę sieci, tworzenie oprogramowania i inne śro</w:t>
      </w:r>
      <w:r>
        <w:t>dki ostrożności.</w:t>
      </w:r>
    </w:p>
    <w:p w:rsidR="00DC107A" w:rsidRDefault="00046D25">
      <w:r>
        <w:t>Certyfikat gwarantuje spełnianie przez Przelewy24 standardu Payment Card Industry (PCI) Data Security Standard (DSS) opracowanego wspólnie przez VISA i MasterCard. Standardy te zostały także wprowadzone w życie przez American Express, Disc</w:t>
      </w:r>
      <w:r>
        <w:t>over Card i JCB.</w:t>
      </w:r>
    </w:p>
    <w:p w:rsidR="00046D25" w:rsidRDefault="00046D25"/>
    <w:p w:rsidR="00DC107A" w:rsidRDefault="00046D25">
      <w:pPr>
        <w:pStyle w:val="Heading2"/>
      </w:pPr>
      <w:bookmarkStart w:id="14" w:name="scroll-bookmark-6"/>
      <w:bookmarkStart w:id="15" w:name="_Toc437503900"/>
      <w:r>
        <w:t>McAfee Secure</w:t>
      </w:r>
      <w:bookmarkEnd w:id="14"/>
      <w:bookmarkEnd w:id="15"/>
    </w:p>
    <w:p w:rsidR="00DC107A" w:rsidRDefault="00046D25" w:rsidP="00046D25">
      <w:r w:rsidRPr="00046D25">
        <w:pict>
          <v:shape id="_x0000_i1028" type="#_x0000_t75" alt="www.przelewy24.pl/files/cms/0/mcafee.jpg" style="width:219.75pt;height:83.25pt" o:allowoverlap="f">
            <v:imagedata r:id="rId12" o:title=""/>
          </v:shape>
        </w:pict>
      </w:r>
    </w:p>
    <w:p w:rsidR="00DC107A" w:rsidRDefault="00046D25">
      <w:r>
        <w:t>McAfee to międzynarodowy lider w dziedzinie bezpieczeństwa internetowego. Technologia ta chroni ponad 400 000 witryn. Firma McAfee także świadczy usługi certyfikacyjne PCI- w ramach spełniania wymogów Visa, MasterCard- na r</w:t>
      </w:r>
      <w:r>
        <w:t>zecz sklepów internetowych w ponad siedemdziesięciu krajach. Produkty McAfee dla użytkowników indywidualnych obejmują światowej klasy rozwiązania dostępne w sprzedaży detalicznej i w trybie online, przeznaczone do ochrony, zabezpieczania i optymalizacji ko</w:t>
      </w:r>
      <w:r>
        <w:t>mputerów klientów indywidualnych.</w:t>
      </w:r>
    </w:p>
    <w:p w:rsidR="00046D25" w:rsidRDefault="00046D25"/>
    <w:p w:rsidR="00DC107A" w:rsidRDefault="00046D25">
      <w:pPr>
        <w:pStyle w:val="Heading1"/>
      </w:pPr>
      <w:bookmarkStart w:id="16" w:name="scroll-bookmark-7"/>
      <w:bookmarkStart w:id="17" w:name="_Toc437503901"/>
      <w:r>
        <w:t>Zasada działania</w:t>
      </w:r>
      <w:bookmarkEnd w:id="16"/>
      <w:bookmarkEnd w:id="17"/>
    </w:p>
    <w:p w:rsidR="00DC107A" w:rsidRDefault="00046D25">
      <w:r>
        <w:t xml:space="preserve">Transakcje w systemie MKA są dokonywana na Portalu lub w aplikacji iMKA. Przy potwierdzaniu zakupu transakcja jest tworzona w Systemie Centralnym MKA, natomiast użytkownik zostaje przekierowany do systemu </w:t>
      </w:r>
      <w:r>
        <w:t>Przelewy24 (Krok1). Użytkownik wybiera formę płatności i dokonuje opłaty zgodnie z zasadami wybranej formy płatności (Krok 2). System Przelewy24 po otrzymaniu potwierdzenia od banku potwierdza transakcję w Systemie Centralnym MKA (Krok 3). Od razu po potwi</w:t>
      </w:r>
      <w:r>
        <w:t>erdzeniu transakcji produkt jest dostępny dla klienta dokonującego zakupu.</w:t>
      </w:r>
    </w:p>
    <w:p w:rsidR="00DC107A" w:rsidRDefault="00046D25">
      <w:r>
        <w:pict>
          <v:shape id="_x0000_i1029" type="#_x0000_t75" alt="/download/attachments/245438063/zasada.png?version=1&amp;modificationDate=1426184523000&amp;api=v2" style="width:453pt;height:182.25pt" o:allowoverlap="f">
            <v:imagedata r:id="rId13" o:title=""/>
          </v:shape>
        </w:pict>
      </w:r>
    </w:p>
    <w:p w:rsidR="00DC107A" w:rsidRDefault="00046D25">
      <w:pPr>
        <w:pStyle w:val="Heading1"/>
      </w:pPr>
      <w:bookmarkStart w:id="18" w:name="scroll-bookmark-8"/>
      <w:bookmarkStart w:id="19" w:name="_Toc437503902"/>
      <w:r>
        <w:t>Integracja z PayPal</w:t>
      </w:r>
      <w:bookmarkEnd w:id="18"/>
      <w:bookmarkEnd w:id="19"/>
    </w:p>
    <w:p w:rsidR="00DC107A" w:rsidRDefault="00046D25">
      <w:r>
        <w:t>W rozdziale opisano, w jaki sposób zrealizowany integracja z systemie PayPal.</w:t>
      </w:r>
      <w:r>
        <w:br/>
        <w:t>Za bezpośrednią komunikację z systemem PayPal, odpowiedzialny jest operator płatn</w:t>
      </w:r>
      <w:r>
        <w:t>ości Przelewy24.</w:t>
      </w:r>
      <w:r>
        <w:br/>
        <w:t>Rozdział ten, jest bezpośrednio powiązany z załączonym dokumentami:</w:t>
      </w:r>
    </w:p>
    <w:p w:rsidR="00DC107A" w:rsidRDefault="00046D25">
      <w:pPr>
        <w:numPr>
          <w:ilvl w:val="0"/>
          <w:numId w:val="12"/>
        </w:numPr>
      </w:pPr>
      <w:r>
        <w:t>PayPal - Standardowa realizacja transakcji - podręcznik integracji</w:t>
      </w:r>
    </w:p>
    <w:p w:rsidR="00DC107A" w:rsidRDefault="00046D25">
      <w:pPr>
        <w:numPr>
          <w:ilvl w:val="0"/>
          <w:numId w:val="12"/>
        </w:numPr>
      </w:pPr>
      <w:r>
        <w:t>Instrukcja integracji systemu PayPal dla klientów platformy Przelewy24</w:t>
      </w:r>
    </w:p>
    <w:p w:rsidR="00DC107A" w:rsidRDefault="00DC107A"/>
    <w:p w:rsidR="00DC107A" w:rsidRDefault="00046D25">
      <w:pPr>
        <w:pStyle w:val="Heading2"/>
      </w:pPr>
      <w:bookmarkStart w:id="20" w:name="scroll-bookmark-9"/>
      <w:bookmarkStart w:id="21" w:name="_Toc437503903"/>
      <w:r>
        <w:t>PayPal</w:t>
      </w:r>
      <w:bookmarkEnd w:id="20"/>
      <w:bookmarkEnd w:id="21"/>
    </w:p>
    <w:p w:rsidR="00DC107A" w:rsidRDefault="00046D25">
      <w:r>
        <w:t>Integracja z systemem Pay</w:t>
      </w:r>
      <w:r>
        <w:t>Pal zostanie zrealizowana poprzez platformę Przelewy24, która udostępnia taka możliwość.</w:t>
      </w:r>
    </w:p>
    <w:p w:rsidR="00DC107A" w:rsidRDefault="00046D25">
      <w:r>
        <w:t>W systemie PayPal klienci mogą płacić przy użyciu karty kredytowej bądź salda konta PayPal, które można zasilać przelewami z konta bankowego lub innego konta PayPal. W</w:t>
      </w:r>
      <w:r>
        <w:t>szystkie informacje finansowe użytkowników są bezpiecznie przechowywane w systemie PayPal. Jest to świetne rozwiązanie zarówno dla kupujących, jak i sprzedających - użytkowników platform aukcyjnych czy właścicieli sklepów internetowych.</w:t>
      </w:r>
    </w:p>
    <w:p w:rsidR="00DC107A" w:rsidRDefault="00DC107A"/>
    <w:p w:rsidR="00DC107A" w:rsidRDefault="00046D25">
      <w:pPr>
        <w:pStyle w:val="Heading2"/>
      </w:pPr>
      <w:bookmarkStart w:id="22" w:name="scroll-bookmark-10"/>
      <w:bookmarkStart w:id="23" w:name="_Toc437503904"/>
      <w:r>
        <w:t>Schemat procesu pr</w:t>
      </w:r>
      <w:r>
        <w:t>zyjmowania płatności od klienta</w:t>
      </w:r>
      <w:bookmarkEnd w:id="22"/>
      <w:bookmarkEnd w:id="23"/>
    </w:p>
    <w:p w:rsidR="00DC107A" w:rsidRDefault="00046D25">
      <w:r>
        <w:t>Schemat procesu płatności i rozdzielania na poszczególne konta wygląda następująco:</w:t>
      </w:r>
    </w:p>
    <w:p w:rsidR="00DC107A" w:rsidRDefault="00046D25">
      <w:pPr>
        <w:numPr>
          <w:ilvl w:val="0"/>
          <w:numId w:val="13"/>
        </w:numPr>
      </w:pPr>
      <w:r>
        <w:t>Klient tworzy transakcję w Portalu lub aplikacji iMKA (Wybiera przycisk Potwierdź transakcję). Transakcja jest w statusie Utworzona.</w:t>
      </w:r>
    </w:p>
    <w:p w:rsidR="00DC107A" w:rsidRDefault="00046D25">
      <w:pPr>
        <w:numPr>
          <w:ilvl w:val="0"/>
          <w:numId w:val="13"/>
        </w:numPr>
      </w:pPr>
      <w:r>
        <w:t xml:space="preserve">Klient </w:t>
      </w:r>
      <w:r>
        <w:t>wybiera przycisk Przejdź do płatności, przenoszony jest do strony przelewy24.pl</w:t>
      </w:r>
    </w:p>
    <w:p w:rsidR="00DC107A" w:rsidRDefault="00046D25">
      <w:pPr>
        <w:numPr>
          <w:ilvl w:val="0"/>
          <w:numId w:val="13"/>
        </w:numPr>
      </w:pPr>
      <w:r>
        <w:t>Klient wybiera płatność przez PayPal</w:t>
      </w:r>
    </w:p>
    <w:p w:rsidR="00DC107A" w:rsidRDefault="00046D25">
      <w:pPr>
        <w:numPr>
          <w:ilvl w:val="0"/>
          <w:numId w:val="13"/>
        </w:numPr>
      </w:pPr>
      <w:r>
        <w:t>Klient wykonuje płatność w PayPal</w:t>
      </w:r>
    </w:p>
    <w:p w:rsidR="00DC107A" w:rsidRDefault="00046D25">
      <w:pPr>
        <w:numPr>
          <w:ilvl w:val="0"/>
          <w:numId w:val="13"/>
        </w:numPr>
      </w:pPr>
      <w:r>
        <w:t>Płatność trafia na konto PayPal Operatora MKA. Po wysłaniu potwierdzenia płatności przez Przelewy24 do Sy</w:t>
      </w:r>
      <w:r>
        <w:t>stemu Centralnego, klient ma gotowy produkt do przeniesienia.</w:t>
      </w:r>
    </w:p>
    <w:p w:rsidR="00DC107A" w:rsidRDefault="00DC107A"/>
    <w:p w:rsidR="00DC107A" w:rsidRDefault="00046D25">
      <w:pPr>
        <w:pStyle w:val="Heading2"/>
      </w:pPr>
      <w:bookmarkStart w:id="24" w:name="scroll-bookmark-11"/>
      <w:bookmarkStart w:id="25" w:name="_Toc437503905"/>
      <w:r>
        <w:t>Załączniki</w:t>
      </w:r>
      <w:bookmarkEnd w:id="24"/>
      <w:bookmarkEnd w:id="25"/>
    </w:p>
    <w:p w:rsidR="00DC107A" w:rsidRDefault="00046D25">
      <w:pPr>
        <w:numPr>
          <w:ilvl w:val="0"/>
          <w:numId w:val="14"/>
        </w:numPr>
      </w:pPr>
      <w:r>
        <w:t>PayPal - Standardowa realizacja transakcji - podręcznik integracji</w:t>
      </w:r>
    </w:p>
    <w:p w:rsidR="00DC107A" w:rsidRDefault="00046D25">
      <w:pPr>
        <w:numPr>
          <w:ilvl w:val="0"/>
          <w:numId w:val="14"/>
        </w:numPr>
      </w:pPr>
      <w:r>
        <w:t>Instrukcja integracji systemu PayPal dla klientów platformy Przelewy24</w:t>
      </w:r>
    </w:p>
    <w:p w:rsidR="00DC107A" w:rsidRDefault="00046D25">
      <w:pPr>
        <w:pStyle w:val="Heading1"/>
      </w:pPr>
      <w:bookmarkStart w:id="26" w:name="scroll-bookmark-12"/>
      <w:bookmarkStart w:id="27" w:name="_Toc437503906"/>
      <w:r>
        <w:t>Integracja z Przelewy24</w:t>
      </w:r>
      <w:bookmarkEnd w:id="26"/>
      <w:bookmarkEnd w:id="27"/>
    </w:p>
    <w:p w:rsidR="00DC107A" w:rsidRDefault="00046D25">
      <w:r>
        <w:t>W rozdziale opisano,</w:t>
      </w:r>
      <w:r>
        <w:t xml:space="preserve"> w jaki sposób zrealizowany jest interfejs pomiędzy systemem MKA, a systemem przelewy24.pl.</w:t>
      </w:r>
      <w:r>
        <w:br/>
        <w:t>Za bezpośrednią komunikację z systemem przelewy24, po stronie systemu MKA odpowiedzialny jest Portal bądź aplikacja mobilna.</w:t>
      </w:r>
      <w:r>
        <w:br/>
        <w:t>Rozdział ten jest bezpośrednio powiązan</w:t>
      </w:r>
      <w:r>
        <w:t>y z załączonym dokumentem: Specyfikacja instalacji systemu - Przelewy24 - Instalacja pełna</w:t>
      </w:r>
    </w:p>
    <w:p w:rsidR="00DC107A" w:rsidRDefault="00DC107A"/>
    <w:p w:rsidR="00DC107A" w:rsidRDefault="00046D25">
      <w:pPr>
        <w:pStyle w:val="Heading2"/>
      </w:pPr>
      <w:bookmarkStart w:id="28" w:name="scroll-bookmark-13"/>
      <w:bookmarkStart w:id="29" w:name="_Toc437503907"/>
      <w:r>
        <w:t>Przelewy24</w:t>
      </w:r>
      <w:bookmarkEnd w:id="28"/>
      <w:bookmarkEnd w:id="29"/>
    </w:p>
    <w:p w:rsidR="00DC107A" w:rsidRDefault="00046D25">
      <w:r>
        <w:t>Serwis Przelewy24 jest internetowym serwisem usługowym, pośredniczącym w przekazywaniu płatności pomiędzy Klientem i Sprzedawcą. Serwis udostępnia Klient</w:t>
      </w:r>
      <w:r>
        <w:t>om różnorodne metody wykonywania płatności, przyjmuje płatności Klientów na swoje konta, potwierdza Sprzedawcy zrealizowanie płatności i przekazuje te płatności na konto Sprzedawcy.</w:t>
      </w:r>
    </w:p>
    <w:p w:rsidR="00DC107A" w:rsidRDefault="00046D25">
      <w:r>
        <w:t>Płatności pobrane od Klientów Serwis przekazuje na konto Sprzedawcy w tryb</w:t>
      </w:r>
      <w:r>
        <w:t>ie natychmiastowym.</w:t>
      </w:r>
    </w:p>
    <w:p w:rsidR="00DC107A" w:rsidRDefault="00DC107A"/>
    <w:p w:rsidR="00DC107A" w:rsidRDefault="00046D25">
      <w:pPr>
        <w:pStyle w:val="Heading2"/>
      </w:pPr>
      <w:bookmarkStart w:id="30" w:name="scroll-bookmark-14"/>
      <w:bookmarkStart w:id="31" w:name="_Toc437503908"/>
      <w:r>
        <w:t>Schemat procesu przyjmowania</w:t>
      </w:r>
      <w:r>
        <w:t xml:space="preserve"> płatności od klienta</w:t>
      </w:r>
      <w:bookmarkEnd w:id="30"/>
      <w:bookmarkEnd w:id="31"/>
    </w:p>
    <w:p w:rsidR="00DC107A" w:rsidRDefault="00046D25">
      <w:r>
        <w:t>Schemat procesu płatności i rozdzielania na poszczególne konta wygląda następująco:</w:t>
      </w:r>
    </w:p>
    <w:p w:rsidR="00DC107A" w:rsidRDefault="00046D25">
      <w:pPr>
        <w:numPr>
          <w:ilvl w:val="0"/>
          <w:numId w:val="15"/>
        </w:numPr>
      </w:pPr>
      <w:r>
        <w:t>Klient tworzy transakcję w Portalu lub aplikacji iMKA (Wybiera przycisk Potwierdź transakcję). Trans</w:t>
      </w:r>
      <w:r>
        <w:t>akcja jest w statusie Utworzona.</w:t>
      </w:r>
    </w:p>
    <w:p w:rsidR="00DC107A" w:rsidRDefault="00046D25">
      <w:pPr>
        <w:numPr>
          <w:ilvl w:val="0"/>
          <w:numId w:val="15"/>
        </w:numPr>
      </w:pPr>
      <w:r>
        <w:t>Klient wybiera przycisk Przejdź do płatności, przenoszony jest do strony przelewy24.pl</w:t>
      </w:r>
    </w:p>
    <w:p w:rsidR="00DC107A" w:rsidRDefault="00046D25">
      <w:pPr>
        <w:numPr>
          <w:ilvl w:val="0"/>
          <w:numId w:val="15"/>
        </w:numPr>
      </w:pPr>
      <w:r>
        <w:t>Klient wykonuje płatność w przelewy24.pl.</w:t>
      </w:r>
    </w:p>
    <w:p w:rsidR="00DC107A" w:rsidRDefault="00046D25">
      <w:pPr>
        <w:numPr>
          <w:ilvl w:val="0"/>
          <w:numId w:val="15"/>
        </w:numPr>
      </w:pPr>
      <w:r>
        <w:t>Płatność trafia na konto techniczne Operatora MKA w systemie przelewy24.pl. Po wysłaniu potwie</w:t>
      </w:r>
      <w:r>
        <w:t>rdzenia płatności do Systemu Centralnego, klient ma gotowy produkt do przeniesienia.</w:t>
      </w:r>
    </w:p>
    <w:p w:rsidR="00DC107A" w:rsidRDefault="00046D25">
      <w:pPr>
        <w:pStyle w:val="Heading3"/>
      </w:pPr>
      <w:bookmarkStart w:id="32" w:name="scroll-bookmark-15"/>
      <w:bookmarkStart w:id="33" w:name="_Toc437503909"/>
      <w:r>
        <w:t>Przyjmowanie płatności</w:t>
      </w:r>
      <w:bookmarkEnd w:id="32"/>
      <w:bookmarkEnd w:id="33"/>
    </w:p>
    <w:p w:rsidR="00DC107A" w:rsidRDefault="00046D25">
      <w:r>
        <w:t>Schemat komunikacji przebiega identycznie jak jest to podane na stronie 2 dokumentu Specyfikacja instalacji systemu. W ramach uzupełnienia należy je</w:t>
      </w:r>
      <w:r>
        <w:t>dnak poznać logikę działania po stronie Systemu Centralnego MKA.</w:t>
      </w:r>
      <w:r>
        <w:br/>
        <w:t>Transakcja tworzona jest w momencie kliknięcia przez klienta przycisku Potwierdź transakcję na Portalu i w aplikacji iMKA. Wtedy transakcja przechodzi w stan ‘Utworzona’.</w:t>
      </w:r>
    </w:p>
    <w:p w:rsidR="00DC107A" w:rsidRDefault="00046D25">
      <w:r>
        <w:t>Po kliknięciu w przy</w:t>
      </w:r>
      <w:r>
        <w:t>cisk ‘Przejdź do płatności’ przechodzimy na stronę operatora płatności – przelewy24.pl. Metodą POST wysyłany jest formularz, opisany w punkcie 3.1 dokumentu Specyfikacja instalacji systemu. Formularz ten zawiera następująca pola:</w:t>
      </w:r>
    </w:p>
    <w:tbl>
      <w:tblPr>
        <w:tblStyle w:val="ScrollCode"/>
        <w:tblW w:w="5000" w:type="pct"/>
        <w:tblLook w:val="0180" w:firstRow="0" w:lastRow="0" w:firstColumn="1" w:lastColumn="1" w:noHBand="0" w:noVBand="0"/>
      </w:tblPr>
      <w:tblGrid>
        <w:gridCol w:w="9206"/>
      </w:tblGrid>
      <w:tr w:rsidR="00DC107A">
        <w:tc>
          <w:tcPr>
            <w:tcW w:w="0" w:type="auto"/>
          </w:tcPr>
          <w:p w:rsidR="00DC107A" w:rsidRDefault="00046D25">
            <w:pPr>
              <w:rPr>
                <w:rFonts w:ascii="Courier New" w:hAnsi="Courier New"/>
                <w:sz w:val="18"/>
                <w:szCs w:val="20"/>
              </w:rPr>
            </w:pPr>
            <w:r>
              <w:rPr>
                <w:rFonts w:ascii="Courier New" w:hAnsi="Courier New"/>
                <w:sz w:val="18"/>
                <w:szCs w:val="20"/>
              </w:rPr>
              <w:t xml:space="preserve">&lt;input type="hidden" </w:t>
            </w:r>
            <w:r>
              <w:rPr>
                <w:rFonts w:ascii="Courier New" w:hAnsi="Courier New"/>
                <w:sz w:val="18"/>
                <w:szCs w:val="20"/>
              </w:rPr>
              <w:t>value="" name="p24_session_id"&gt;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name="p24_id_sprzedawcy"&gt;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name="p24_kwota"&gt;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name="p24_klient"&gt;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name="p24_adres"&gt;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</w:t>
            </w:r>
            <w:r>
              <w:rPr>
                <w:rFonts w:ascii="Courier New" w:hAnsi="Courier New"/>
                <w:sz w:val="18"/>
                <w:szCs w:val="20"/>
              </w:rPr>
              <w:t>lue="" name="p24_kod"&gt;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name="p24_miasto"&gt;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name="p24_kraj"&gt;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name="p24_email"&gt;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name="p24_return_url_ok"&gt;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</w:t>
            </w:r>
            <w:r>
              <w:rPr>
                <w:rFonts w:ascii="Courier New" w:hAnsi="Courier New"/>
                <w:sz w:val="18"/>
                <w:szCs w:val="20"/>
              </w:rPr>
              <w:t>e="p24_return_url_error"&gt;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name="p24_language"&gt;</w:t>
            </w:r>
            <w:r>
              <w:rPr>
                <w:rFonts w:ascii="Courier New" w:hAnsi="Courier New"/>
                <w:sz w:val="18"/>
                <w:szCs w:val="20"/>
              </w:rPr>
              <w:br/>
              <w:t>&lt;input type="hidden" value="" name="p24_crc"&gt;</w:t>
            </w:r>
          </w:p>
          <w:p w:rsidR="00DC107A" w:rsidRDefault="00DC107A"/>
        </w:tc>
      </w:tr>
    </w:tbl>
    <w:p w:rsidR="00046D25" w:rsidRDefault="00046D25"/>
    <w:p w:rsidR="00DC107A" w:rsidRDefault="00046D25">
      <w:r>
        <w:t>Transakcja może zostać potwierdzona od razu – wtedy też automatycznie bilet trafia na białą listę lub też po jakimś czasie - jest t</w:t>
      </w:r>
      <w:r>
        <w:t>o zależne od banku w którym jest dokonywana transakcja. Adres na jaki przekazywane jest potwierdzenie podany jest w punkcie 2.2 Specyfikacja instalacji systemu. Mechanizm późniejszego przyjmowania płatności opisany jest w punkcie 3.3 Specyfikacja instalacj</w:t>
      </w:r>
      <w:r>
        <w:t>i systemu.</w:t>
      </w:r>
      <w:r>
        <w:br/>
        <w:t>Transakcja, która nie została potwierdzona w czasie określonym w parametrach Systemu Centralnego zmienia status na anulowana.</w:t>
      </w:r>
    </w:p>
    <w:p w:rsidR="00DC107A" w:rsidRDefault="00046D25">
      <w:pPr>
        <w:pStyle w:val="Heading2"/>
      </w:pPr>
      <w:bookmarkStart w:id="34" w:name="scroll-bookmark-16"/>
      <w:bookmarkStart w:id="35" w:name="_Toc437503910"/>
      <w:r>
        <w:t>Załączniki</w:t>
      </w:r>
      <w:bookmarkEnd w:id="34"/>
      <w:bookmarkEnd w:id="35"/>
    </w:p>
    <w:p w:rsidR="00DC107A" w:rsidRDefault="00046D25">
      <w:r>
        <w:t>Specyfikacja instalacji systemu - Przelewy24.pl - Instalacja pełna</w:t>
      </w:r>
    </w:p>
    <w:p w:rsidR="00E27465" w:rsidRDefault="00046D25" w:rsidP="00DE1BBC"/>
    <w:sectPr w:rsidR="00E27465" w:rsidSect="00E27465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46D25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046D2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046D25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046D25" w:rsidP="00310820">
    <w:pPr>
      <w:pStyle w:val="Footer"/>
      <w:ind w:right="360"/>
    </w:pPr>
  </w:p>
  <w:p w:rsidR="00F70404" w:rsidRDefault="00046D25"/>
  <w:p w:rsidR="008B4467" w:rsidRDefault="00046D2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046D25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046D25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9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46D25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046D2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046D25">
    <w:pPr>
      <w:pStyle w:val="Header"/>
    </w:pPr>
  </w:p>
  <w:p w:rsidR="008B4467" w:rsidRDefault="00046D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046D25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046D25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89AE683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45F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6A7D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700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E4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CCBA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EDC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88BD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C812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B420E388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C46D06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B2B17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320929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D6133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D2ED9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C498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2C32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DE3C0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F84353D"/>
    <w:multiLevelType w:val="multilevel"/>
    <w:tmpl w:val="7F84353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F84353E"/>
    <w:multiLevelType w:val="multilevel"/>
    <w:tmpl w:val="7F843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F84353F"/>
    <w:multiLevelType w:val="multilevel"/>
    <w:tmpl w:val="7F84353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07A"/>
    <w:rsid w:val="00046D25"/>
    <w:rsid w:val="00DC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rup.knf.gov.pl/View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5462F-302F-45C4-B68B-A18649A5C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1</TotalTime>
  <Pages>9</Pages>
  <Words>1173</Words>
  <Characters>9228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2015-12-10T08:43:00Z</dcterms:created>
  <dcterms:modified xsi:type="dcterms:W3CDTF">2015-12-10T08:43:00Z</dcterms:modified>
</cp:coreProperties>
</file>